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3" w:rsidRDefault="000D5F03">
      <w:bookmarkStart w:id="0" w:name="_GoBack"/>
      <w:bookmarkEnd w:id="0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\\Obmen\обмен\Чернобаев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en\обмен\Чернобаев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03" w:rsidRDefault="000D5F03"/>
    <w:p w:rsidR="000D5F03" w:rsidRDefault="000D5F03" w:rsidP="000D5F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D5F03" w:rsidRDefault="000D5F03" w:rsidP="000D5F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2.7.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имеют право на перевод в другое общеобразовательное учреждение, реализующее общеобразовательную программу соответствующего уровня.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Обучающиеся могут быть переведены в другие образовательные учреждения в следующих случаях: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переменой места жительства;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желанию родителей (законных представителей).</w:t>
      </w:r>
    </w:p>
    <w:p w:rsidR="000D5F03" w:rsidRDefault="000D5F03" w:rsidP="000D5F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proofErr w:type="gramStart"/>
      <w:r>
        <w:rPr>
          <w:color w:val="000000"/>
          <w:sz w:val="28"/>
          <w:szCs w:val="28"/>
        </w:rPr>
        <w:t>Перевод обучающегося в другое общеобразовательное учреждение производится по письменному заявлению родителей (законных представителей) и сопровождается получением справки-подтверждения из другого общеобразовательного учреждения о приеме данного обучающегося.</w:t>
      </w:r>
      <w:proofErr w:type="gramEnd"/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 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не более 25 человек).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Перевод обучающегося на основании решения суда производится в порядке, установленном законодательством.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При переводе обучающегося из образовательного учреждения его родителям (законным представителям) выдаются документы: личное дело, табель успеваемости, медицинская карта. 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При переводе обучающегося в образовательное учреждение прием его осуществляется в соответствии с Правилами приема в образовательное учреждение.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 Перевод обучающегося оформляется приказом директора образовательного учреждения.</w:t>
      </w:r>
    </w:p>
    <w:p w:rsidR="000D5F03" w:rsidRDefault="000D5F03" w:rsidP="000D5F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F03" w:rsidRDefault="000D5F03" w:rsidP="000D5F03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 xml:space="preserve">3. Отчисление </w:t>
      </w:r>
      <w:proofErr w:type="gramStart"/>
      <w:r>
        <w:rPr>
          <w:rStyle w:val="a5"/>
          <w:color w:val="000000"/>
          <w:sz w:val="28"/>
          <w:szCs w:val="28"/>
        </w:rPr>
        <w:t>обучающихся</w:t>
      </w:r>
      <w:proofErr w:type="gramEnd"/>
    </w:p>
    <w:p w:rsidR="000D5F03" w:rsidRDefault="000D5F03" w:rsidP="000D5F03">
      <w:pPr>
        <w:pStyle w:val="a4"/>
        <w:spacing w:before="0" w:beforeAutospacing="0" w:after="0" w:afterAutospacing="0"/>
        <w:jc w:val="center"/>
      </w:pP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proofErr w:type="gramStart"/>
      <w:r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в связи с получением образования (завершением обучения);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досрочно по основаниям, установленным п.3.2 настоящего Порядка.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Образовательные отношения могут быть прекращены досрочно в следующих случаях: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 инициативе школы в случае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Основанием для прекращения образовательных отношений является приказ директора образовательного </w:t>
      </w:r>
      <w:proofErr w:type="gramStart"/>
      <w:r>
        <w:rPr>
          <w:color w:val="000000"/>
          <w:sz w:val="28"/>
          <w:szCs w:val="28"/>
        </w:rPr>
        <w:t>учреждения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 из образовательного учреждения.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rPr>
          <w:color w:val="000000"/>
          <w:sz w:val="28"/>
          <w:szCs w:val="28"/>
        </w:rPr>
        <w:t>директора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образовательного учреждения прекращаются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 из образовательного учреждения.</w:t>
      </w:r>
    </w:p>
    <w:p w:rsidR="000D5F03" w:rsidRDefault="000D5F03" w:rsidP="000D5F0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 При досрочном прекращении образовательных отношений образовательное учреждение в трехдневный срок после издания приказа </w:t>
      </w:r>
      <w:proofErr w:type="gramStart"/>
      <w:r>
        <w:rPr>
          <w:color w:val="000000"/>
          <w:sz w:val="28"/>
          <w:szCs w:val="28"/>
        </w:rPr>
        <w:t>директора</w:t>
      </w:r>
      <w:proofErr w:type="gramEnd"/>
      <w:r>
        <w:rPr>
          <w:color w:val="000000"/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в соответствии с частью 12 ст.60 Федерального закона № 273-ФЭ «Об образовании в Российской Федерации».</w:t>
      </w:r>
    </w:p>
    <w:p w:rsidR="000D5F03" w:rsidRDefault="000D5F03" w:rsidP="000D5F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D5F03" w:rsidRDefault="000D5F03" w:rsidP="000D5F03">
      <w:pPr>
        <w:pStyle w:val="a4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3.7.</w:t>
      </w:r>
      <w:r>
        <w:rPr>
          <w:sz w:val="28"/>
          <w:szCs w:val="28"/>
        </w:rPr>
        <w:t>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D5F03" w:rsidRDefault="000D5F03" w:rsidP="000D5F03">
      <w:pPr>
        <w:pStyle w:val="a4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3.8. </w:t>
      </w:r>
      <w:r>
        <w:rPr>
          <w:color w:val="000000"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color w:val="000000"/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, не позднее чем в месячный срок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</w:t>
      </w:r>
    </w:p>
    <w:p w:rsidR="000D5F03" w:rsidRDefault="000D5F03" w:rsidP="000D5F03">
      <w:pPr>
        <w:pStyle w:val="a4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74"/>
        <w:gridCol w:w="4079"/>
      </w:tblGrid>
      <w:tr w:rsidR="000D5F03" w:rsidTr="000D5F03">
        <w:trPr>
          <w:jc w:val="center"/>
        </w:trPr>
        <w:tc>
          <w:tcPr>
            <w:tcW w:w="5374" w:type="dxa"/>
          </w:tcPr>
          <w:p w:rsidR="000D5F03" w:rsidRDefault="000D5F03">
            <w:pPr>
              <w:rPr>
                <w:sz w:val="28"/>
                <w:szCs w:val="28"/>
              </w:rPr>
            </w:pPr>
          </w:p>
          <w:p w:rsidR="000D5F03" w:rsidRDefault="000D5F03">
            <w:pPr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0D5F03" w:rsidRDefault="000D5F03">
            <w:pPr>
              <w:rPr>
                <w:sz w:val="28"/>
                <w:szCs w:val="28"/>
              </w:rPr>
            </w:pPr>
          </w:p>
        </w:tc>
      </w:tr>
    </w:tbl>
    <w:p w:rsidR="000D5F03" w:rsidRDefault="000D5F03" w:rsidP="000D5F03">
      <w:pPr>
        <w:rPr>
          <w:b/>
          <w:bCs/>
          <w:sz w:val="28"/>
          <w:szCs w:val="28"/>
        </w:rPr>
      </w:pPr>
    </w:p>
    <w:p w:rsidR="000D5F03" w:rsidRDefault="000D5F03" w:rsidP="000D5F03">
      <w:pPr>
        <w:rPr>
          <w:b/>
          <w:bCs/>
        </w:rPr>
      </w:pPr>
    </w:p>
    <w:p w:rsidR="000D5F03" w:rsidRDefault="000D5F03" w:rsidP="000D5F03">
      <w:pPr>
        <w:rPr>
          <w:b/>
          <w:bCs/>
        </w:rPr>
      </w:pPr>
    </w:p>
    <w:p w:rsidR="000D5F03" w:rsidRDefault="000D5F03" w:rsidP="000D5F03">
      <w:pPr>
        <w:rPr>
          <w:b/>
          <w:bCs/>
        </w:rPr>
      </w:pPr>
    </w:p>
    <w:p w:rsidR="000D5F03" w:rsidRDefault="000D5F03" w:rsidP="000D5F03"/>
    <w:p w:rsidR="000D5F03" w:rsidRDefault="000D5F03" w:rsidP="000D5F03"/>
    <w:p w:rsidR="000D5F03" w:rsidRDefault="000D5F03" w:rsidP="000D5F03">
      <w:pPr>
        <w:pStyle w:val="a4"/>
        <w:spacing w:before="0" w:beforeAutospacing="0" w:after="0" w:afterAutospacing="0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5F03" w:rsidRDefault="000D5F03" w:rsidP="000D5F03">
      <w:pPr>
        <w:pStyle w:val="a4"/>
        <w:tabs>
          <w:tab w:val="num" w:pos="1032"/>
        </w:tabs>
        <w:spacing w:before="0" w:beforeAutospacing="0" w:after="0" w:afterAutospacing="0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5F03" w:rsidRDefault="000D5F03" w:rsidP="000D5F03">
      <w:pPr>
        <w:pStyle w:val="a4"/>
        <w:spacing w:before="0" w:beforeAutospacing="0" w:after="0" w:afterAutospacing="0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5F03" w:rsidRDefault="000D5F03" w:rsidP="000D5F03">
      <w:pPr>
        <w:ind w:firstLine="709"/>
        <w:jc w:val="both"/>
        <w:rPr>
          <w:sz w:val="28"/>
          <w:szCs w:val="28"/>
        </w:rPr>
      </w:pPr>
    </w:p>
    <w:p w:rsidR="000D5F03" w:rsidRDefault="000D5F03" w:rsidP="000D5F0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D5F03" w:rsidRDefault="000D5F03" w:rsidP="000D5F03">
      <w:pPr>
        <w:rPr>
          <w:b/>
          <w:u w:val="single"/>
        </w:rPr>
      </w:pPr>
    </w:p>
    <w:p w:rsidR="000D5F03" w:rsidRDefault="000D5F03" w:rsidP="000D5F03">
      <w:pPr>
        <w:ind w:firstLine="720"/>
        <w:rPr>
          <w:b/>
          <w:u w:val="single"/>
        </w:rPr>
      </w:pPr>
    </w:p>
    <w:p w:rsidR="000D5F03" w:rsidRDefault="000D5F03" w:rsidP="000D5F03">
      <w:pPr>
        <w:ind w:firstLine="720"/>
        <w:jc w:val="both"/>
      </w:pPr>
    </w:p>
    <w:p w:rsidR="000D5F03" w:rsidRDefault="000D5F03" w:rsidP="000D5F03">
      <w:pPr>
        <w:ind w:firstLine="900"/>
        <w:rPr>
          <w:b/>
          <w:u w:val="single"/>
        </w:rPr>
      </w:pPr>
    </w:p>
    <w:p w:rsidR="00B253E2" w:rsidRDefault="00B253E2"/>
    <w:sectPr w:rsidR="00B2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21"/>
    <w:rsid w:val="000D5F03"/>
    <w:rsid w:val="000F3621"/>
    <w:rsid w:val="00A9787A"/>
    <w:rsid w:val="00B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5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F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5F03"/>
  </w:style>
  <w:style w:type="character" w:styleId="a5">
    <w:name w:val="Strong"/>
    <w:basedOn w:val="a0"/>
    <w:qFormat/>
    <w:rsid w:val="000D5F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5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F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5F03"/>
  </w:style>
  <w:style w:type="character" w:styleId="a5">
    <w:name w:val="Strong"/>
    <w:basedOn w:val="a0"/>
    <w:qFormat/>
    <w:rsid w:val="000D5F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Zav_Ch</dc:creator>
  <cp:lastModifiedBy>User</cp:lastModifiedBy>
  <cp:revision>2</cp:revision>
  <dcterms:created xsi:type="dcterms:W3CDTF">2017-04-14T08:35:00Z</dcterms:created>
  <dcterms:modified xsi:type="dcterms:W3CDTF">2017-04-14T08:35:00Z</dcterms:modified>
</cp:coreProperties>
</file>